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22A" w:rsidRPr="00AC1030" w:rsidRDefault="0084722A" w:rsidP="00AC103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</w:rPr>
      </w:pPr>
      <w:r w:rsidRPr="00AC1030">
        <w:rPr>
          <w:rFonts w:ascii="Times New Roman" w:hAnsi="Times New Roman" w:cs="Times New Roman"/>
          <w:b/>
          <w:color w:val="FF0000"/>
        </w:rPr>
        <w:t>4.  Формула цветка крестоцветных: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685"/>
      </w:tblGrid>
      <w:tr w:rsidR="0084722A" w:rsidRPr="00AC1030" w:rsidTr="0035258C">
        <w:tc>
          <w:tcPr>
            <w:tcW w:w="5169" w:type="dxa"/>
          </w:tcPr>
          <w:p w:rsidR="0084722A" w:rsidRPr="00AC1030" w:rsidRDefault="0084722A" w:rsidP="00AC1030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2"/>
                <w:szCs w:val="22"/>
                <w:u w:val="single"/>
                <w:vertAlign w:val="subscript"/>
              </w:rPr>
            </w:pPr>
            <w:proofErr w:type="gramStart"/>
            <w:r w:rsidRPr="00AC1030">
              <w:rPr>
                <w:color w:val="000000" w:themeColor="text1"/>
                <w:sz w:val="22"/>
                <w:szCs w:val="22"/>
              </w:rPr>
              <w:t>а</w:t>
            </w:r>
            <w:r w:rsidRPr="00AC1030">
              <w:rPr>
                <w:color w:val="000000" w:themeColor="text1"/>
                <w:sz w:val="22"/>
                <w:szCs w:val="22"/>
                <w:highlight w:val="yellow"/>
              </w:rPr>
              <w:t>)  Ч</w:t>
            </w:r>
            <w:proofErr w:type="gramEnd"/>
            <w:r w:rsidRPr="00AC1030">
              <w:rPr>
                <w:color w:val="000000" w:themeColor="text1"/>
                <w:sz w:val="22"/>
                <w:szCs w:val="22"/>
                <w:highlight w:val="yellow"/>
                <w:vertAlign w:val="subscript"/>
              </w:rPr>
              <w:t>4</w:t>
            </w:r>
            <w:r w:rsidRPr="00AC1030">
              <w:rPr>
                <w:color w:val="000000" w:themeColor="text1"/>
                <w:sz w:val="22"/>
                <w:szCs w:val="22"/>
                <w:highlight w:val="yellow"/>
              </w:rPr>
              <w:t>Л</w:t>
            </w:r>
            <w:r w:rsidRPr="00AC1030">
              <w:rPr>
                <w:color w:val="000000" w:themeColor="text1"/>
                <w:sz w:val="22"/>
                <w:szCs w:val="22"/>
                <w:highlight w:val="yellow"/>
                <w:vertAlign w:val="subscript"/>
              </w:rPr>
              <w:t>4</w:t>
            </w:r>
            <w:r w:rsidRPr="00AC1030">
              <w:rPr>
                <w:color w:val="000000" w:themeColor="text1"/>
                <w:sz w:val="22"/>
                <w:szCs w:val="22"/>
                <w:highlight w:val="yellow"/>
              </w:rPr>
              <w:t>Т</w:t>
            </w:r>
            <w:r w:rsidRPr="00AC1030">
              <w:rPr>
                <w:color w:val="000000" w:themeColor="text1"/>
                <w:sz w:val="22"/>
                <w:szCs w:val="22"/>
                <w:highlight w:val="yellow"/>
                <w:vertAlign w:val="subscript"/>
              </w:rPr>
              <w:t>6</w:t>
            </w:r>
            <w:r w:rsidRPr="00AC1030">
              <w:rPr>
                <w:color w:val="000000" w:themeColor="text1"/>
                <w:sz w:val="22"/>
                <w:szCs w:val="22"/>
                <w:highlight w:val="yellow"/>
              </w:rPr>
              <w:t>П</w:t>
            </w:r>
            <w:r w:rsidRPr="00AC1030">
              <w:rPr>
                <w:color w:val="000000" w:themeColor="text1"/>
                <w:sz w:val="22"/>
                <w:szCs w:val="22"/>
                <w:highlight w:val="yellow"/>
                <w:u w:val="single"/>
                <w:vertAlign w:val="subscript"/>
              </w:rPr>
              <w:t>(2)</w:t>
            </w:r>
            <w:r w:rsidRPr="00AC1030">
              <w:rPr>
                <w:color w:val="000000" w:themeColor="text1"/>
                <w:sz w:val="22"/>
                <w:szCs w:val="22"/>
                <w:u w:val="single"/>
                <w:vertAlign w:val="subscript"/>
              </w:rPr>
              <w:t xml:space="preserve"> </w:t>
            </w:r>
          </w:p>
          <w:p w:rsidR="0084722A" w:rsidRPr="00AC1030" w:rsidRDefault="0084722A" w:rsidP="00AC1030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AC1030">
              <w:rPr>
                <w:color w:val="000000" w:themeColor="text1"/>
                <w:sz w:val="22"/>
                <w:szCs w:val="22"/>
              </w:rPr>
              <w:t>б)*</w:t>
            </w:r>
            <w:proofErr w:type="gramEnd"/>
            <w:r w:rsidRPr="00AC1030">
              <w:rPr>
                <w:color w:val="000000" w:themeColor="text1"/>
                <w:sz w:val="22"/>
                <w:szCs w:val="22"/>
              </w:rPr>
              <w:t>Ч</w:t>
            </w:r>
            <w:r w:rsidRPr="00AC1030">
              <w:rPr>
                <w:color w:val="000000" w:themeColor="text1"/>
                <w:sz w:val="22"/>
                <w:szCs w:val="22"/>
                <w:vertAlign w:val="subscript"/>
              </w:rPr>
              <w:t>4</w:t>
            </w:r>
            <w:r w:rsidRPr="00AC1030">
              <w:rPr>
                <w:color w:val="000000" w:themeColor="text1"/>
                <w:sz w:val="22"/>
                <w:szCs w:val="22"/>
              </w:rPr>
              <w:t>Л</w:t>
            </w:r>
            <w:r w:rsidRPr="00AC1030">
              <w:rPr>
                <w:color w:val="000000" w:themeColor="text1"/>
                <w:sz w:val="22"/>
                <w:szCs w:val="22"/>
                <w:vertAlign w:val="subscript"/>
              </w:rPr>
              <w:t>4</w:t>
            </w:r>
            <w:r w:rsidRPr="00AC1030">
              <w:rPr>
                <w:color w:val="000000" w:themeColor="text1"/>
                <w:sz w:val="22"/>
                <w:szCs w:val="22"/>
              </w:rPr>
              <w:t>Т</w:t>
            </w:r>
            <w:r w:rsidRPr="00AC1030">
              <w:rPr>
                <w:color w:val="000000" w:themeColor="text1"/>
                <w:sz w:val="22"/>
                <w:szCs w:val="22"/>
                <w:vertAlign w:val="subscript"/>
              </w:rPr>
              <w:t>4</w:t>
            </w:r>
            <w:r w:rsidRPr="00AC1030">
              <w:rPr>
                <w:color w:val="000000" w:themeColor="text1"/>
                <w:sz w:val="22"/>
                <w:szCs w:val="22"/>
              </w:rPr>
              <w:t>П</w:t>
            </w:r>
            <w:r w:rsidRPr="00AC1030">
              <w:rPr>
                <w:color w:val="000000" w:themeColor="text1"/>
                <w:sz w:val="22"/>
                <w:szCs w:val="22"/>
                <w:u w:val="single"/>
                <w:vertAlign w:val="subscript"/>
              </w:rPr>
              <w:t>(2)</w:t>
            </w:r>
            <w:r w:rsidRPr="00AC1030">
              <w:rPr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5169" w:type="dxa"/>
          </w:tcPr>
          <w:p w:rsidR="0084722A" w:rsidRPr="00AC1030" w:rsidRDefault="0084722A" w:rsidP="00AC1030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AC1030">
              <w:rPr>
                <w:color w:val="000000" w:themeColor="text1"/>
                <w:sz w:val="22"/>
                <w:szCs w:val="22"/>
              </w:rPr>
              <w:t>в) *Ч</w:t>
            </w:r>
            <w:r w:rsidRPr="00AC1030">
              <w:rPr>
                <w:color w:val="000000" w:themeColor="text1"/>
                <w:sz w:val="22"/>
                <w:szCs w:val="22"/>
                <w:vertAlign w:val="subscript"/>
              </w:rPr>
              <w:t>2+2</w:t>
            </w:r>
            <w:r w:rsidRPr="00AC1030">
              <w:rPr>
                <w:color w:val="000000" w:themeColor="text1"/>
                <w:sz w:val="22"/>
                <w:szCs w:val="22"/>
              </w:rPr>
              <w:t>Л</w:t>
            </w:r>
            <w:r w:rsidRPr="00AC1030">
              <w:rPr>
                <w:color w:val="000000" w:themeColor="text1"/>
                <w:sz w:val="22"/>
                <w:szCs w:val="22"/>
                <w:vertAlign w:val="subscript"/>
              </w:rPr>
              <w:t>4</w:t>
            </w:r>
            <w:r w:rsidRPr="00AC1030">
              <w:rPr>
                <w:color w:val="000000" w:themeColor="text1"/>
                <w:sz w:val="22"/>
                <w:szCs w:val="22"/>
              </w:rPr>
              <w:t>Т</w:t>
            </w:r>
            <w:r w:rsidRPr="00AC1030">
              <w:rPr>
                <w:color w:val="000000" w:themeColor="text1"/>
                <w:sz w:val="22"/>
                <w:szCs w:val="22"/>
                <w:vertAlign w:val="subscript"/>
              </w:rPr>
              <w:t>2+4</w:t>
            </w:r>
            <w:proofErr w:type="gramStart"/>
            <w:r w:rsidRPr="00AC1030">
              <w:rPr>
                <w:color w:val="000000" w:themeColor="text1"/>
                <w:sz w:val="22"/>
                <w:szCs w:val="22"/>
              </w:rPr>
              <w:t>П</w:t>
            </w:r>
            <w:r w:rsidRPr="00AC1030">
              <w:rPr>
                <w:color w:val="000000" w:themeColor="text1"/>
                <w:sz w:val="22"/>
                <w:szCs w:val="22"/>
                <w:u w:val="single"/>
                <w:vertAlign w:val="subscript"/>
              </w:rPr>
              <w:t>(</w:t>
            </w:r>
            <w:proofErr w:type="gramEnd"/>
            <w:r w:rsidRPr="00AC1030">
              <w:rPr>
                <w:color w:val="000000" w:themeColor="text1"/>
                <w:sz w:val="22"/>
                <w:szCs w:val="22"/>
                <w:u w:val="single"/>
                <w:vertAlign w:val="subscript"/>
              </w:rPr>
              <w:t>2)</w:t>
            </w:r>
            <w:r w:rsidRPr="00AC1030">
              <w:rPr>
                <w:color w:val="000000" w:themeColor="text1"/>
                <w:sz w:val="22"/>
                <w:szCs w:val="22"/>
              </w:rPr>
              <w:t xml:space="preserve">; </w:t>
            </w:r>
          </w:p>
          <w:p w:rsidR="0084722A" w:rsidRPr="00AC1030" w:rsidRDefault="0084722A" w:rsidP="00AC1030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AC1030">
              <w:rPr>
                <w:bCs/>
                <w:color w:val="FF0000"/>
                <w:sz w:val="22"/>
                <w:szCs w:val="22"/>
              </w:rPr>
              <w:t>г)</w:t>
            </w:r>
            <w:r w:rsidRPr="00AC1030">
              <w:rPr>
                <w:color w:val="FF0000"/>
                <w:sz w:val="22"/>
                <w:szCs w:val="22"/>
              </w:rPr>
              <w:t xml:space="preserve"> </w:t>
            </w:r>
            <w:r w:rsidRPr="00AC1030">
              <w:rPr>
                <w:bCs/>
                <w:color w:val="FF0000"/>
                <w:sz w:val="22"/>
                <w:szCs w:val="22"/>
              </w:rPr>
              <w:t>*Ч</w:t>
            </w:r>
            <w:r w:rsidRPr="00AC1030">
              <w:rPr>
                <w:bCs/>
                <w:color w:val="FF0000"/>
                <w:sz w:val="22"/>
                <w:szCs w:val="22"/>
                <w:vertAlign w:val="subscript"/>
              </w:rPr>
              <w:t>4</w:t>
            </w:r>
            <w:r w:rsidRPr="00AC1030">
              <w:rPr>
                <w:bCs/>
                <w:color w:val="FF0000"/>
                <w:sz w:val="22"/>
                <w:szCs w:val="22"/>
              </w:rPr>
              <w:t>Л</w:t>
            </w:r>
            <w:r w:rsidRPr="00AC1030">
              <w:rPr>
                <w:bCs/>
                <w:color w:val="FF0000"/>
                <w:sz w:val="22"/>
                <w:szCs w:val="22"/>
                <w:vertAlign w:val="subscript"/>
              </w:rPr>
              <w:t>4</w:t>
            </w:r>
            <w:r w:rsidRPr="00AC1030">
              <w:rPr>
                <w:bCs/>
                <w:color w:val="FF0000"/>
                <w:sz w:val="22"/>
                <w:szCs w:val="22"/>
              </w:rPr>
              <w:t>Т</w:t>
            </w:r>
            <w:r w:rsidRPr="00AC1030">
              <w:rPr>
                <w:bCs/>
                <w:color w:val="FF0000"/>
                <w:sz w:val="22"/>
                <w:szCs w:val="22"/>
                <w:vertAlign w:val="subscript"/>
              </w:rPr>
              <w:t>8</w:t>
            </w:r>
            <w:proofErr w:type="gramStart"/>
            <w:r w:rsidRPr="00AC1030">
              <w:rPr>
                <w:bCs/>
                <w:color w:val="FF0000"/>
                <w:sz w:val="22"/>
                <w:szCs w:val="22"/>
              </w:rPr>
              <w:t>П</w:t>
            </w:r>
            <w:r w:rsidRPr="00AC1030">
              <w:rPr>
                <w:bCs/>
                <w:color w:val="FF0000"/>
                <w:sz w:val="22"/>
                <w:szCs w:val="22"/>
                <w:u w:val="single"/>
                <w:vertAlign w:val="subscript"/>
              </w:rPr>
              <w:t>(</w:t>
            </w:r>
            <w:proofErr w:type="gramEnd"/>
            <w:r w:rsidRPr="00AC1030">
              <w:rPr>
                <w:bCs/>
                <w:color w:val="FF0000"/>
                <w:sz w:val="22"/>
                <w:szCs w:val="22"/>
                <w:u w:val="single"/>
                <w:vertAlign w:val="subscript"/>
              </w:rPr>
              <w:t>2)</w:t>
            </w:r>
            <w:r w:rsidRPr="00AC1030">
              <w:rPr>
                <w:bCs/>
                <w:color w:val="FF0000"/>
                <w:sz w:val="22"/>
                <w:szCs w:val="22"/>
              </w:rPr>
              <w:t>.</w:t>
            </w:r>
          </w:p>
        </w:tc>
      </w:tr>
    </w:tbl>
    <w:p w:rsidR="0084722A" w:rsidRPr="00AC1030" w:rsidRDefault="0084722A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C3178E" w:rsidRDefault="00710E2C" w:rsidP="00AC1030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10E2C">
        <w:rPr>
          <w:rFonts w:ascii="Times New Roman" w:hAnsi="Times New Roman" w:cs="Times New Roman"/>
          <w:b/>
        </w:rPr>
        <w:t xml:space="preserve">Нет. Неверно. Исправление неверно. Правильный ответ </w:t>
      </w:r>
      <w:r>
        <w:rPr>
          <w:rFonts w:ascii="Times New Roman" w:hAnsi="Times New Roman" w:cs="Times New Roman"/>
          <w:b/>
        </w:rPr>
        <w:t>4</w:t>
      </w:r>
      <w:r w:rsidRPr="00710E2C">
        <w:rPr>
          <w:rFonts w:ascii="Times New Roman" w:hAnsi="Times New Roman" w:cs="Times New Roman"/>
          <w:b/>
        </w:rPr>
        <w:t xml:space="preserve"> </w:t>
      </w:r>
      <w:r w:rsidR="00C3178E">
        <w:rPr>
          <w:rFonts w:ascii="Times New Roman" w:hAnsi="Times New Roman" w:cs="Times New Roman"/>
          <w:b/>
        </w:rPr>
        <w:t>А</w:t>
      </w:r>
    </w:p>
    <w:p w:rsidR="00C3178E" w:rsidRPr="00AC1030" w:rsidRDefault="00C3178E" w:rsidP="00AC1030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35245C">
        <w:rPr>
          <w:rFonts w:ascii="Times New Roman" w:hAnsi="Times New Roman" w:cs="Times New Roman"/>
          <w:b/>
          <w:highlight w:val="yellow"/>
        </w:rPr>
        <w:t>У крестоцветных – 6 тычинок, а не 8.</w:t>
      </w:r>
      <w:r>
        <w:rPr>
          <w:rFonts w:ascii="Times New Roman" w:hAnsi="Times New Roman" w:cs="Times New Roman"/>
          <w:b/>
        </w:rPr>
        <w:t xml:space="preserve"> </w:t>
      </w:r>
    </w:p>
    <w:p w:rsidR="000E7FFC" w:rsidRDefault="00C3178E" w:rsidP="00AC1030">
      <w:pPr>
        <w:spacing w:line="240" w:lineRule="auto"/>
        <w:contextualSpacing/>
        <w:rPr>
          <w:rFonts w:ascii="Times New Roman" w:hAnsi="Times New Roman" w:cs="Times New Roman"/>
        </w:rPr>
      </w:pPr>
      <w:hyperlink r:id="rId4" w:history="1">
        <w:r w:rsidRPr="002E4F2C">
          <w:rPr>
            <w:rStyle w:val="a4"/>
            <w:rFonts w:ascii="Times New Roman" w:hAnsi="Times New Roman" w:cs="Times New Roman"/>
          </w:rPr>
          <w:t>http://blgy.ru/biology6v/crucials</w:t>
        </w:r>
      </w:hyperlink>
      <w:r>
        <w:rPr>
          <w:rFonts w:ascii="Times New Roman" w:hAnsi="Times New Roman" w:cs="Times New Roman"/>
        </w:rPr>
        <w:br/>
      </w:r>
      <w:hyperlink r:id="rId5" w:history="1">
        <w:r w:rsidRPr="002E4F2C">
          <w:rPr>
            <w:rStyle w:val="a4"/>
            <w:rFonts w:ascii="Times New Roman" w:hAnsi="Times New Roman" w:cs="Times New Roman"/>
          </w:rPr>
          <w:t>http://molbiol.ru/wiki/(%D0%B6%</w:t>
        </w:r>
        <w:bookmarkStart w:id="0" w:name="_GoBack"/>
        <w:bookmarkEnd w:id="0"/>
        <w:r w:rsidRPr="002E4F2C">
          <w:rPr>
            <w:rStyle w:val="a4"/>
            <w:rFonts w:ascii="Times New Roman" w:hAnsi="Times New Roman" w:cs="Times New Roman"/>
          </w:rPr>
          <w:t>D1%80)_%D0%A1%D0%B5%D0%BC%D0%B5%D0%B9%D1%81%D1%82%D0%B2%D0%BE_%D0%BA%D1%80%D0%B5%D1%81%D1%82%D0%BE%D1%86%D0%B2%D0%B5%D1%82%D0%BD%D1%8B%D0%B5_(Brassicaceae,_%D0%B8%D0%BB%D0%B8_Cruciferae)</w:t>
        </w:r>
      </w:hyperlink>
      <w:r>
        <w:rPr>
          <w:rFonts w:ascii="Times New Roman" w:hAnsi="Times New Roman" w:cs="Times New Roman"/>
        </w:rPr>
        <w:t xml:space="preserve"> </w:t>
      </w:r>
    </w:p>
    <w:p w:rsidR="00AC1030" w:rsidRPr="00AC1030" w:rsidRDefault="00AC1030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84722A" w:rsidRPr="00AC1030" w:rsidRDefault="0084722A" w:rsidP="00AC103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</w:rPr>
      </w:pPr>
      <w:r w:rsidRPr="00AC1030">
        <w:rPr>
          <w:rFonts w:ascii="Times New Roman" w:hAnsi="Times New Roman" w:cs="Times New Roman"/>
          <w:b/>
          <w:color w:val="FF0000"/>
        </w:rPr>
        <w:t>34.  Примером ароморфоза является: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84722A" w:rsidRPr="00AC1030" w:rsidTr="0035258C">
        <w:tc>
          <w:tcPr>
            <w:tcW w:w="5169" w:type="dxa"/>
          </w:tcPr>
          <w:p w:rsidR="0084722A" w:rsidRPr="00AC1030" w:rsidRDefault="0084722A" w:rsidP="00AC103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AC1030">
              <w:rPr>
                <w:color w:val="000000"/>
                <w:sz w:val="22"/>
                <w:szCs w:val="22"/>
                <w:highlight w:val="yellow"/>
              </w:rPr>
              <w:t>а) теплокровность</w:t>
            </w:r>
            <w:r w:rsidRPr="00AC1030">
              <w:rPr>
                <w:color w:val="000000"/>
                <w:sz w:val="22"/>
                <w:szCs w:val="22"/>
              </w:rPr>
              <w:t>;</w:t>
            </w:r>
          </w:p>
          <w:p w:rsidR="0084722A" w:rsidRPr="00AC1030" w:rsidRDefault="0084722A" w:rsidP="00AC103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AC1030">
              <w:rPr>
                <w:color w:val="000000"/>
                <w:sz w:val="22"/>
                <w:szCs w:val="22"/>
              </w:rPr>
              <w:t>б</w:t>
            </w:r>
            <w:r w:rsidRPr="00AC1030">
              <w:rPr>
                <w:color w:val="FF0000"/>
                <w:sz w:val="22"/>
                <w:szCs w:val="22"/>
              </w:rPr>
              <w:t>) волосяной покров млекопитающих</w:t>
            </w:r>
            <w:r w:rsidRPr="00AC1030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5169" w:type="dxa"/>
          </w:tcPr>
          <w:p w:rsidR="0084722A" w:rsidRPr="00AC1030" w:rsidRDefault="0084722A" w:rsidP="00AC103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AC1030">
              <w:rPr>
                <w:color w:val="000000"/>
                <w:sz w:val="22"/>
                <w:szCs w:val="22"/>
              </w:rPr>
              <w:t xml:space="preserve">в) наружный скелет беспозвоночных; </w:t>
            </w:r>
          </w:p>
          <w:p w:rsidR="0084722A" w:rsidRPr="00AC1030" w:rsidRDefault="0084722A" w:rsidP="00AC103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AC1030">
              <w:rPr>
                <w:color w:val="000000"/>
                <w:sz w:val="22"/>
                <w:szCs w:val="22"/>
              </w:rPr>
              <w:t>г) роговой клюв у птиц</w:t>
            </w:r>
          </w:p>
        </w:tc>
      </w:tr>
    </w:tbl>
    <w:p w:rsidR="000E7FFC" w:rsidRPr="00AC1030" w:rsidRDefault="000E7FFC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0E7FFC" w:rsidRPr="00AC1030" w:rsidRDefault="0084722A" w:rsidP="00AC1030">
      <w:pPr>
        <w:spacing w:line="240" w:lineRule="auto"/>
        <w:contextualSpacing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  <w:highlight w:val="yellow"/>
        </w:rPr>
        <w:t xml:space="preserve">Нет. Неверно. </w:t>
      </w:r>
      <w:r w:rsidR="00896B28" w:rsidRPr="00AC1030">
        <w:rPr>
          <w:rFonts w:ascii="Times New Roman" w:hAnsi="Times New Roman" w:cs="Times New Roman"/>
          <w:highlight w:val="yellow"/>
        </w:rPr>
        <w:t>Исправление неверно</w:t>
      </w:r>
      <w:r w:rsidR="00896B28" w:rsidRPr="00AA4B3A">
        <w:rPr>
          <w:rFonts w:ascii="Times New Roman" w:hAnsi="Times New Roman" w:cs="Times New Roman"/>
          <w:highlight w:val="yellow"/>
        </w:rPr>
        <w:t xml:space="preserve">. </w:t>
      </w:r>
      <w:r w:rsidR="00AA4B3A" w:rsidRPr="00AA4B3A">
        <w:rPr>
          <w:rFonts w:ascii="Times New Roman" w:hAnsi="Times New Roman" w:cs="Times New Roman"/>
          <w:highlight w:val="yellow"/>
        </w:rPr>
        <w:t>Правильный ответ 34 А</w:t>
      </w:r>
    </w:p>
    <w:p w:rsidR="006E2199" w:rsidRPr="00AC1030" w:rsidRDefault="009150F8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</w:rPr>
        <w:t>Термин "ароморфоз" введен А. Н. Северцовым в 1914 г. (Северцов, 1967) для обозначения и признаков, характеризующих более высокий уровень организации, и направления эволюции, приводящего к формированию этих признаков. Согласно А. Н. Северцову, ароморфоз - один из четырех выделенных им путей достижения биологическо</w:t>
      </w:r>
      <w:r w:rsidR="0032729E" w:rsidRPr="00AC1030">
        <w:rPr>
          <w:rFonts w:ascii="Times New Roman" w:hAnsi="Times New Roman" w:cs="Times New Roman"/>
        </w:rPr>
        <w:t>й эволюции</w:t>
      </w:r>
      <w:r w:rsidRPr="00AC1030">
        <w:rPr>
          <w:rFonts w:ascii="Times New Roman" w:hAnsi="Times New Roman" w:cs="Times New Roman"/>
        </w:rPr>
        <w:t xml:space="preserve">. </w:t>
      </w:r>
    </w:p>
    <w:p w:rsidR="00773116" w:rsidRDefault="00773116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E2199" w:rsidRPr="00AC1030" w:rsidRDefault="006E2199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AC1030">
        <w:rPr>
          <w:rFonts w:ascii="Times New Roman" w:hAnsi="Times New Roman" w:cs="Times New Roman"/>
        </w:rPr>
        <w:t>Гомойотермия</w:t>
      </w:r>
      <w:proofErr w:type="spellEnd"/>
      <w:r w:rsidRPr="00AC1030">
        <w:rPr>
          <w:rFonts w:ascii="Times New Roman" w:hAnsi="Times New Roman" w:cs="Times New Roman"/>
        </w:rPr>
        <w:t xml:space="preserve"> — ярко выраженный ароморфоз — прогрессивное эволюционное изменение строения, приводящее к общему повышению уровня организации организмов (Северцов,192</w:t>
      </w:r>
      <w:r w:rsidR="00BB3851">
        <w:rPr>
          <w:rFonts w:ascii="Times New Roman" w:hAnsi="Times New Roman" w:cs="Times New Roman"/>
        </w:rPr>
        <w:t>2</w:t>
      </w:r>
      <w:r w:rsidRPr="00AC1030">
        <w:rPr>
          <w:rFonts w:ascii="Times New Roman" w:hAnsi="Times New Roman" w:cs="Times New Roman"/>
        </w:rPr>
        <w:t>).</w:t>
      </w:r>
    </w:p>
    <w:p w:rsidR="00773116" w:rsidRDefault="00773116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D4269B" w:rsidRPr="00AC1030" w:rsidRDefault="009150F8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</w:rPr>
        <w:t xml:space="preserve">А. Н. Северцов подчеркивал, что ароморфоз </w:t>
      </w:r>
      <w:r w:rsidR="0032729E" w:rsidRPr="00AC1030">
        <w:rPr>
          <w:rFonts w:ascii="Times New Roman" w:hAnsi="Times New Roman" w:cs="Times New Roman"/>
        </w:rPr>
        <w:t>— это</w:t>
      </w:r>
      <w:r w:rsidRPr="00AC1030">
        <w:rPr>
          <w:rFonts w:ascii="Times New Roman" w:hAnsi="Times New Roman" w:cs="Times New Roman"/>
        </w:rPr>
        <w:t xml:space="preserve"> прежде всего усложнение организации, т. е. обращал внимание на морфологическую характеристику этого явления. </w:t>
      </w:r>
    </w:p>
    <w:p w:rsidR="00773116" w:rsidRDefault="00773116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D4269B" w:rsidRPr="00AC1030" w:rsidRDefault="006E2199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</w:rPr>
        <w:t>З</w:t>
      </w:r>
      <w:r w:rsidR="009150F8" w:rsidRPr="00AC1030">
        <w:rPr>
          <w:rFonts w:ascii="Times New Roman" w:hAnsi="Times New Roman" w:cs="Times New Roman"/>
        </w:rPr>
        <w:t>атем И. И. Шмальгаузен (1982) показал, что ароморфоз независимо от степени перестройки организации потомков по сравнению с предками - приспособление широкого значения, т. е. дали ему эколого-морфологическое толкование.</w:t>
      </w:r>
      <w:r w:rsidR="0032729E" w:rsidRPr="00AC1030">
        <w:rPr>
          <w:rFonts w:ascii="Times New Roman" w:hAnsi="Times New Roman" w:cs="Times New Roman"/>
        </w:rPr>
        <w:t xml:space="preserve"> Исходя из представления об ароморфозе, как приспособлении широкого значения, т. е. приспособления, позволяющего организмам существовать в условиях более сложных, чем их предки, можно попытаться уточнить эколого-морфологическую трактовку ароморфоза при помощи представления об адаптивной зоне эволюции таксона. </w:t>
      </w:r>
    </w:p>
    <w:p w:rsidR="00174527" w:rsidRDefault="0032729E" w:rsidP="00773116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</w:rPr>
        <w:t xml:space="preserve">С этих позиций ароморфоз </w:t>
      </w:r>
      <w:r w:rsidR="00B347FC" w:rsidRPr="00AC1030">
        <w:rPr>
          <w:rFonts w:ascii="Times New Roman" w:hAnsi="Times New Roman" w:cs="Times New Roman"/>
        </w:rPr>
        <w:t>— это</w:t>
      </w:r>
      <w:r w:rsidRPr="00AC1030">
        <w:rPr>
          <w:rFonts w:ascii="Times New Roman" w:hAnsi="Times New Roman" w:cs="Times New Roman"/>
        </w:rPr>
        <w:t xml:space="preserve"> происходящее в ходе филогенеза адаптивное преобразование организации, которое позволяет потомкам занять адаптивную зону более широкую, чем у предков. </w:t>
      </w:r>
      <w:r w:rsidR="006E2199" w:rsidRPr="00AC1030">
        <w:rPr>
          <w:rFonts w:ascii="Times New Roman" w:hAnsi="Times New Roman" w:cs="Times New Roman"/>
        </w:rPr>
        <w:t xml:space="preserve"> </w:t>
      </w:r>
    </w:p>
    <w:p w:rsidR="00773116" w:rsidRDefault="00773116" w:rsidP="00773116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E7FFC" w:rsidRDefault="007A7D62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</w:rPr>
        <w:t xml:space="preserve">Учитывая вышеуказанное, </w:t>
      </w:r>
      <w:r w:rsidR="0032729E" w:rsidRPr="00AC1030">
        <w:rPr>
          <w:rFonts w:ascii="Times New Roman" w:hAnsi="Times New Roman" w:cs="Times New Roman"/>
        </w:rPr>
        <w:t xml:space="preserve">теплокровность является </w:t>
      </w:r>
      <w:r w:rsidR="0084722A" w:rsidRPr="00AC1030">
        <w:rPr>
          <w:rFonts w:ascii="Times New Roman" w:hAnsi="Times New Roman" w:cs="Times New Roman"/>
        </w:rPr>
        <w:t>ароморфозом</w:t>
      </w:r>
      <w:r w:rsidR="00713B24" w:rsidRPr="00AC1030">
        <w:rPr>
          <w:rFonts w:ascii="Times New Roman" w:hAnsi="Times New Roman" w:cs="Times New Roman"/>
        </w:rPr>
        <w:t xml:space="preserve">. </w:t>
      </w:r>
    </w:p>
    <w:p w:rsidR="00EB1027" w:rsidRPr="00AC1030" w:rsidRDefault="00EB1027" w:rsidP="00AC1030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92684D" w:rsidRPr="00AC1030" w:rsidRDefault="0035245C" w:rsidP="00AC1030">
      <w:pPr>
        <w:spacing w:line="240" w:lineRule="auto"/>
        <w:contextualSpacing/>
        <w:rPr>
          <w:rFonts w:ascii="Times New Roman" w:hAnsi="Times New Roman" w:cs="Times New Roman"/>
        </w:rPr>
      </w:pPr>
      <w:hyperlink r:id="rId6" w:history="1">
        <w:r w:rsidR="00896B28" w:rsidRPr="00AC1030">
          <w:rPr>
            <w:rStyle w:val="a4"/>
            <w:rFonts w:ascii="Times New Roman" w:hAnsi="Times New Roman" w:cs="Times New Roman"/>
          </w:rPr>
          <w:t>https://www.cfa.harvard.edu/~ejchaisson/reprints/RussianBH_article.pdf</w:t>
        </w:r>
      </w:hyperlink>
    </w:p>
    <w:p w:rsidR="00896B28" w:rsidRDefault="0035245C" w:rsidP="00AC1030">
      <w:pPr>
        <w:spacing w:line="240" w:lineRule="auto"/>
        <w:contextualSpacing/>
        <w:rPr>
          <w:rFonts w:ascii="Times New Roman" w:hAnsi="Times New Roman" w:cs="Times New Roman"/>
        </w:rPr>
      </w:pPr>
      <w:hyperlink r:id="rId7" w:history="1">
        <w:r w:rsidR="00274514" w:rsidRPr="00AC1030">
          <w:rPr>
            <w:rStyle w:val="a4"/>
            <w:rFonts w:ascii="Times New Roman" w:hAnsi="Times New Roman" w:cs="Times New Roman"/>
          </w:rPr>
          <w:t>https://www.researchgate.net/publication/276357127_Whole-body_endothermy_in_a_mesopelagic_fish_the_opah_Lampris_guttatus</w:t>
        </w:r>
      </w:hyperlink>
    </w:p>
    <w:p w:rsidR="00BB3851" w:rsidRDefault="0035245C" w:rsidP="00AC1030">
      <w:pPr>
        <w:spacing w:line="240" w:lineRule="auto"/>
        <w:contextualSpacing/>
        <w:rPr>
          <w:rFonts w:ascii="Times New Roman" w:hAnsi="Times New Roman" w:cs="Times New Roman"/>
        </w:rPr>
      </w:pPr>
      <w:hyperlink r:id="rId8" w:history="1">
        <w:r w:rsidR="00BB3851" w:rsidRPr="00712F0C">
          <w:rPr>
            <w:rStyle w:val="a4"/>
            <w:rFonts w:ascii="Times New Roman" w:hAnsi="Times New Roman" w:cs="Times New Roman"/>
          </w:rPr>
          <w:t>http://science.sciencemag.org/content/348/6236/786</w:t>
        </w:r>
      </w:hyperlink>
    </w:p>
    <w:p w:rsidR="00BB3851" w:rsidRPr="00AC1030" w:rsidRDefault="0035245C" w:rsidP="00AC1030">
      <w:pPr>
        <w:spacing w:line="240" w:lineRule="auto"/>
        <w:contextualSpacing/>
        <w:rPr>
          <w:rFonts w:ascii="Times New Roman" w:hAnsi="Times New Roman" w:cs="Times New Roman"/>
        </w:rPr>
      </w:pPr>
      <w:hyperlink r:id="rId9" w:history="1">
        <w:r w:rsidR="00011D56" w:rsidRPr="00712F0C">
          <w:rPr>
            <w:rStyle w:val="a4"/>
            <w:rFonts w:ascii="Times New Roman" w:hAnsi="Times New Roman" w:cs="Times New Roman"/>
          </w:rPr>
          <w:t>https://pdfs.semanticscholar.org/06f6/82811f514e70cdc3bfa901e729fcae6e251b.pdf</w:t>
        </w:r>
      </w:hyperlink>
      <w:r w:rsidR="00011D56">
        <w:rPr>
          <w:rFonts w:ascii="Times New Roman" w:hAnsi="Times New Roman" w:cs="Times New Roman"/>
        </w:rPr>
        <w:t xml:space="preserve"> </w:t>
      </w:r>
    </w:p>
    <w:p w:rsidR="00BB3851" w:rsidRDefault="00BB3851" w:rsidP="00AC1030">
      <w:pPr>
        <w:pStyle w:val="a6"/>
        <w:ind w:right="150"/>
        <w:contextualSpacing/>
        <w:jc w:val="both"/>
        <w:rPr>
          <w:color w:val="000000"/>
          <w:sz w:val="22"/>
          <w:szCs w:val="22"/>
        </w:rPr>
      </w:pPr>
      <w:r w:rsidRPr="00BB3851">
        <w:rPr>
          <w:color w:val="000000"/>
          <w:sz w:val="22"/>
          <w:szCs w:val="22"/>
        </w:rPr>
        <w:t>Северцов А. Н. Эволюция и психика. - М., 1922. - 54 с.</w:t>
      </w:r>
    </w:p>
    <w:p w:rsidR="00272D85" w:rsidRDefault="00272D85" w:rsidP="00AC1030">
      <w:pPr>
        <w:pStyle w:val="a6"/>
        <w:ind w:right="150"/>
        <w:contextualSpacing/>
        <w:jc w:val="both"/>
        <w:rPr>
          <w:color w:val="000000"/>
          <w:sz w:val="22"/>
          <w:szCs w:val="22"/>
        </w:rPr>
      </w:pPr>
      <w:r w:rsidRPr="00272D85">
        <w:rPr>
          <w:color w:val="000000"/>
          <w:sz w:val="22"/>
          <w:szCs w:val="22"/>
        </w:rPr>
        <w:t xml:space="preserve">Северцов А. Н. Главные направления эволюционного процесса. </w:t>
      </w:r>
      <w:proofErr w:type="spellStart"/>
      <w:r w:rsidRPr="00272D85">
        <w:rPr>
          <w:color w:val="000000"/>
          <w:sz w:val="22"/>
          <w:szCs w:val="22"/>
        </w:rPr>
        <w:t>Морфобио</w:t>
      </w:r>
      <w:proofErr w:type="spellEnd"/>
      <w:r w:rsidRPr="00272D85">
        <w:rPr>
          <w:color w:val="000000"/>
          <w:sz w:val="22"/>
          <w:szCs w:val="22"/>
        </w:rPr>
        <w:t xml:space="preserve">- логическая теория эволюции. - М.; Л., 1934 (2-е изд.). - 151 е.; М.: Изд-во </w:t>
      </w:r>
      <w:proofErr w:type="spellStart"/>
      <w:r w:rsidRPr="00272D85">
        <w:rPr>
          <w:color w:val="000000"/>
          <w:sz w:val="22"/>
          <w:szCs w:val="22"/>
        </w:rPr>
        <w:t>Моск</w:t>
      </w:r>
      <w:proofErr w:type="spellEnd"/>
      <w:r w:rsidRPr="00272D85">
        <w:rPr>
          <w:color w:val="000000"/>
          <w:sz w:val="22"/>
          <w:szCs w:val="22"/>
        </w:rPr>
        <w:t>. ун-та, 1967 (3-е изд.). - 201 с.</w:t>
      </w:r>
    </w:p>
    <w:p w:rsidR="00AC1030" w:rsidRPr="00AC1030" w:rsidRDefault="00B80B14" w:rsidP="00AC1030">
      <w:pPr>
        <w:pStyle w:val="a6"/>
        <w:ind w:right="150"/>
        <w:contextualSpacing/>
        <w:jc w:val="both"/>
        <w:rPr>
          <w:color w:val="000000"/>
          <w:sz w:val="22"/>
          <w:szCs w:val="22"/>
        </w:rPr>
      </w:pPr>
      <w:r w:rsidRPr="00AC1030">
        <w:rPr>
          <w:color w:val="000000"/>
          <w:sz w:val="22"/>
          <w:szCs w:val="22"/>
        </w:rPr>
        <w:t>Шмальгаузен И. И. Проблемы дарвинизма. Л.: Наука, 1969. - 493 с.</w:t>
      </w:r>
    </w:p>
    <w:p w:rsidR="00B80B14" w:rsidRPr="00AC1030" w:rsidRDefault="00B80B14" w:rsidP="00AC1030">
      <w:pPr>
        <w:pStyle w:val="a6"/>
        <w:ind w:right="150"/>
        <w:contextualSpacing/>
        <w:jc w:val="both"/>
        <w:rPr>
          <w:color w:val="000000"/>
          <w:sz w:val="22"/>
          <w:szCs w:val="22"/>
        </w:rPr>
      </w:pPr>
      <w:r w:rsidRPr="00AC1030">
        <w:rPr>
          <w:color w:val="000000"/>
          <w:sz w:val="22"/>
          <w:szCs w:val="22"/>
        </w:rPr>
        <w:t>Шмальгаузен И. И. Пути и закономерности эволюционного процесса. - М.: Наука, 1982. - 383 с.</w:t>
      </w:r>
    </w:p>
    <w:p w:rsidR="00B80B14" w:rsidRDefault="00B80B14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EB1027" w:rsidRDefault="00EB1027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EB1027" w:rsidRDefault="00EB1027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773116" w:rsidRDefault="00773116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773116" w:rsidRDefault="00773116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773116" w:rsidRDefault="00773116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773116" w:rsidRPr="00AC1030" w:rsidRDefault="00773116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274514" w:rsidRPr="00AC1030" w:rsidRDefault="00274514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896B28" w:rsidRPr="00896B28" w:rsidRDefault="00896B28" w:rsidP="00AC103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896B28">
        <w:rPr>
          <w:rFonts w:ascii="Times New Roman" w:eastAsia="Times New Roman" w:hAnsi="Times New Roman" w:cs="Times New Roman"/>
          <w:b/>
          <w:color w:val="FF0000"/>
          <w:lang w:eastAsia="ru-RU"/>
        </w:rPr>
        <w:t xml:space="preserve">37. Модификационная изменчивость: </w:t>
      </w:r>
    </w:p>
    <w:p w:rsidR="00896B28" w:rsidRPr="00896B28" w:rsidRDefault="00896B28" w:rsidP="00AC103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96B28">
        <w:rPr>
          <w:rFonts w:ascii="Times New Roman" w:eastAsia="Times New Roman" w:hAnsi="Times New Roman" w:cs="Times New Roman"/>
          <w:lang w:eastAsia="ru-RU"/>
        </w:rPr>
        <w:t xml:space="preserve">а) необратима;  </w:t>
      </w:r>
    </w:p>
    <w:p w:rsidR="00896B28" w:rsidRPr="00896B28" w:rsidRDefault="00896B28" w:rsidP="00AC103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96B28">
        <w:rPr>
          <w:rFonts w:ascii="Times New Roman" w:eastAsia="Times New Roman" w:hAnsi="Times New Roman" w:cs="Times New Roman"/>
          <w:color w:val="FF0000"/>
          <w:lang w:eastAsia="ru-RU"/>
        </w:rPr>
        <w:t>б) возникает под действием условий существования организма</w:t>
      </w:r>
      <w:r w:rsidRPr="00896B28">
        <w:rPr>
          <w:rFonts w:ascii="Times New Roman" w:eastAsia="Times New Roman" w:hAnsi="Times New Roman" w:cs="Times New Roman"/>
          <w:lang w:eastAsia="ru-RU"/>
        </w:rPr>
        <w:t xml:space="preserve">;  </w:t>
      </w:r>
    </w:p>
    <w:p w:rsidR="00896B28" w:rsidRPr="00896B28" w:rsidRDefault="00896B28" w:rsidP="00AC103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96B28">
        <w:rPr>
          <w:rFonts w:ascii="Times New Roman" w:eastAsia="Times New Roman" w:hAnsi="Times New Roman" w:cs="Times New Roman"/>
          <w:lang w:eastAsia="ru-RU"/>
        </w:rPr>
        <w:t xml:space="preserve">в) связана с изменением генотипа;  </w:t>
      </w:r>
    </w:p>
    <w:p w:rsidR="00896B28" w:rsidRPr="00896B28" w:rsidRDefault="00896B28" w:rsidP="00AC103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96B28">
        <w:rPr>
          <w:rFonts w:ascii="Times New Roman" w:eastAsia="Times New Roman" w:hAnsi="Times New Roman" w:cs="Times New Roman"/>
          <w:highlight w:val="yellow"/>
          <w:lang w:eastAsia="ru-RU"/>
        </w:rPr>
        <w:t>г) наследуется</w:t>
      </w:r>
      <w:r w:rsidRPr="00896B28">
        <w:rPr>
          <w:rFonts w:ascii="Times New Roman" w:eastAsia="Times New Roman" w:hAnsi="Times New Roman" w:cs="Times New Roman"/>
          <w:lang w:eastAsia="ru-RU"/>
        </w:rPr>
        <w:t>.</w:t>
      </w:r>
    </w:p>
    <w:p w:rsidR="00896B28" w:rsidRPr="00AC1030" w:rsidRDefault="00896B28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896B28" w:rsidRPr="00AC1030" w:rsidRDefault="00896B28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896B28" w:rsidRPr="00AC1030" w:rsidRDefault="00896B28" w:rsidP="00AC1030">
      <w:pPr>
        <w:spacing w:line="240" w:lineRule="auto"/>
        <w:contextualSpacing/>
        <w:rPr>
          <w:rFonts w:ascii="Times New Roman" w:hAnsi="Times New Roman" w:cs="Times New Roman"/>
        </w:rPr>
      </w:pPr>
      <w:r w:rsidRPr="00FF7D38">
        <w:rPr>
          <w:rFonts w:ascii="Times New Roman" w:hAnsi="Times New Roman" w:cs="Times New Roman"/>
          <w:highlight w:val="yellow"/>
        </w:rPr>
        <w:t xml:space="preserve">Нет, неверно. </w:t>
      </w:r>
      <w:r w:rsidR="00FF7D38" w:rsidRPr="00FF7D38">
        <w:rPr>
          <w:rFonts w:ascii="Times New Roman" w:hAnsi="Times New Roman" w:cs="Times New Roman"/>
          <w:highlight w:val="yellow"/>
        </w:rPr>
        <w:t>Правильный ответ 37 Г</w:t>
      </w:r>
    </w:p>
    <w:p w:rsidR="00896B28" w:rsidRPr="00AC1030" w:rsidRDefault="00896B28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p w:rsidR="00896B28" w:rsidRPr="00AC1030" w:rsidRDefault="00896B28" w:rsidP="00C87ED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</w:rPr>
        <w:t xml:space="preserve">Фенотипическую пластичность или модификационную изменчивость можно в широком смысле определить как способность одного генотипа вырабатывать более одного фенотипа при воздействии на него различные среды обитания. Следует заметить, правда, что наличие фенотипической пластичность прописано "на генном уровне". В так явлении так называемого генетического полиморфизма, когда различия между аллелями одного и того же гена, как правило, заключаются в незначительных вариациях его «генетического» кода. Большую долю в генетический полиморфизм вносят замены одного нуклеотида на другой и изменения числа повторяющихся фрагментов ДНК, которые осуществляются во всех структурных элементах генома: экзонах, интронах, регуляторных участках и т. д.  Хотя большинство известных полиморфизмов выражаются либо в заменах одного нуклеотида, либо в изменении числа повторяющихся фрагментов ДНК, тем не менее вариации, затрагивающие кодирующие фрагменты генов и отражающиеся на аминокислотной последовательности их продуктов, встречаются относительно редко и не имеют отношения к анализируемой конкретной проблеме, для которой в первую очередь важны возможные последствия полиморфизма нитронов и 5'-концевых </w:t>
      </w:r>
      <w:proofErr w:type="spellStart"/>
      <w:r w:rsidRPr="00AC1030">
        <w:rPr>
          <w:rFonts w:ascii="Times New Roman" w:hAnsi="Times New Roman" w:cs="Times New Roman"/>
        </w:rPr>
        <w:t>некодирующих</w:t>
      </w:r>
      <w:proofErr w:type="spellEnd"/>
      <w:r w:rsidRPr="00AC1030">
        <w:rPr>
          <w:rFonts w:ascii="Times New Roman" w:hAnsi="Times New Roman" w:cs="Times New Roman"/>
        </w:rPr>
        <w:t xml:space="preserve"> последовательностей. Анализ данного феномена в существенной степени зависит от того, насколько вариабельны собственные функции белка, кодируемого различными аллелями, что справедливо и в отношении ферментов образования и метаболизма стероидных гормонов, о которых далее пойдет речь.</w:t>
      </w:r>
    </w:p>
    <w:p w:rsidR="00896B28" w:rsidRPr="00AC1030" w:rsidRDefault="00896B28" w:rsidP="00C87ED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</w:rPr>
        <w:t>С экологической и эволюционной точки зрения фенотипическая пластичность может быть мощным средством адаптации, а примеры фенотипической пластичности включают уход от хищников, полиморфизмы крыла насекомых, время метаморфоза у амфибий, осморегуляцию у рыб и альтернативную репродуктивную тактику у мужских позвоночных</w:t>
      </w:r>
      <w:r w:rsidR="00EB1027">
        <w:rPr>
          <w:rFonts w:ascii="Times New Roman" w:hAnsi="Times New Roman" w:cs="Times New Roman"/>
        </w:rPr>
        <w:t>.</w:t>
      </w:r>
    </w:p>
    <w:p w:rsidR="00896B28" w:rsidRPr="00AC1030" w:rsidRDefault="00896B28" w:rsidP="00C87EDD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AC1030">
        <w:rPr>
          <w:rFonts w:ascii="Times New Roman" w:hAnsi="Times New Roman" w:cs="Times New Roman"/>
        </w:rPr>
        <w:t>То есть несмотря на то, что фенотипическая пластичность — это реакция организма на изменение событий развития в окружающей среде или способность отдельного организма изменять свой фенотип в ответ на изменения в условиях окружающей среды, её наличие в эволюционном процессе генетически обусловлено – и прописано. Возможность фенотипической пластичности наследуется и является одним из важнейших элементов эволюционной адаптивности.</w:t>
      </w:r>
    </w:p>
    <w:p w:rsidR="00896B28" w:rsidRPr="00AC1030" w:rsidRDefault="0035245C" w:rsidP="00AC1030">
      <w:pPr>
        <w:spacing w:line="240" w:lineRule="auto"/>
        <w:contextualSpacing/>
        <w:rPr>
          <w:rFonts w:ascii="Times New Roman" w:hAnsi="Times New Roman" w:cs="Times New Roman"/>
        </w:rPr>
      </w:pPr>
      <w:hyperlink r:id="rId10" w:history="1">
        <w:r w:rsidR="00896B28" w:rsidRPr="00AC1030">
          <w:rPr>
            <w:rStyle w:val="a4"/>
            <w:rFonts w:ascii="Times New Roman" w:hAnsi="Times New Roman" w:cs="Times New Roman"/>
          </w:rPr>
          <w:t>https://www.ncbi.nlm.nih.gov/pubmed/8752207</w:t>
        </w:r>
      </w:hyperlink>
      <w:r w:rsidR="00896B28" w:rsidRPr="00AC1030">
        <w:rPr>
          <w:rFonts w:ascii="Times New Roman" w:hAnsi="Times New Roman" w:cs="Times New Roman"/>
        </w:rPr>
        <w:t xml:space="preserve"> </w:t>
      </w:r>
    </w:p>
    <w:p w:rsidR="00896B28" w:rsidRPr="00AC1030" w:rsidRDefault="0035245C" w:rsidP="00AC1030">
      <w:pPr>
        <w:spacing w:line="240" w:lineRule="auto"/>
        <w:contextualSpacing/>
        <w:rPr>
          <w:rFonts w:ascii="Times New Roman" w:hAnsi="Times New Roman" w:cs="Times New Roman"/>
        </w:rPr>
      </w:pPr>
      <w:hyperlink r:id="rId11" w:history="1">
        <w:r w:rsidR="00896B28" w:rsidRPr="00AC1030">
          <w:rPr>
            <w:rStyle w:val="a4"/>
            <w:rFonts w:ascii="Times New Roman" w:hAnsi="Times New Roman" w:cs="Times New Roman"/>
          </w:rPr>
          <w:t>https://www.ncbi.nlm.nih.gov/pmc/articles/PMC1691402/</w:t>
        </w:r>
      </w:hyperlink>
      <w:r w:rsidR="00896B28" w:rsidRPr="00AC1030">
        <w:rPr>
          <w:rFonts w:ascii="Times New Roman" w:hAnsi="Times New Roman" w:cs="Times New Roman"/>
        </w:rPr>
        <w:t xml:space="preserve"> </w:t>
      </w:r>
    </w:p>
    <w:p w:rsidR="00896B28" w:rsidRPr="00AC1030" w:rsidRDefault="0035245C" w:rsidP="00AC1030">
      <w:pPr>
        <w:spacing w:line="240" w:lineRule="auto"/>
        <w:contextualSpacing/>
        <w:rPr>
          <w:rFonts w:ascii="Times New Roman" w:hAnsi="Times New Roman" w:cs="Times New Roman"/>
        </w:rPr>
      </w:pPr>
      <w:hyperlink r:id="rId12" w:history="1">
        <w:r w:rsidR="00896B28" w:rsidRPr="00AC1030">
          <w:rPr>
            <w:rStyle w:val="a4"/>
            <w:rFonts w:ascii="Times New Roman" w:hAnsi="Times New Roman" w:cs="Times New Roman"/>
          </w:rPr>
          <w:t>http://citeseerx.ist.psu.edu/viewdoc/download?doi=10.1.1.456.3909&amp;rep=rep1&amp;type=pdf</w:t>
        </w:r>
      </w:hyperlink>
      <w:r w:rsidR="00896B28" w:rsidRPr="00AC1030">
        <w:rPr>
          <w:rFonts w:ascii="Times New Roman" w:hAnsi="Times New Roman" w:cs="Times New Roman"/>
        </w:rPr>
        <w:t xml:space="preserve"> </w:t>
      </w:r>
    </w:p>
    <w:p w:rsidR="00896B28" w:rsidRPr="00AC1030" w:rsidRDefault="00896B28" w:rsidP="00AC1030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896B28" w:rsidRPr="00AC1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84D"/>
    <w:rsid w:val="00011D56"/>
    <w:rsid w:val="00032EB9"/>
    <w:rsid w:val="000E7FFC"/>
    <w:rsid w:val="000F7D64"/>
    <w:rsid w:val="00174527"/>
    <w:rsid w:val="001E6452"/>
    <w:rsid w:val="00272D85"/>
    <w:rsid w:val="00274514"/>
    <w:rsid w:val="002D00CC"/>
    <w:rsid w:val="0032729E"/>
    <w:rsid w:val="0035245C"/>
    <w:rsid w:val="00436C43"/>
    <w:rsid w:val="005055D6"/>
    <w:rsid w:val="006E2199"/>
    <w:rsid w:val="00710E2C"/>
    <w:rsid w:val="00713B24"/>
    <w:rsid w:val="00773116"/>
    <w:rsid w:val="007A7D62"/>
    <w:rsid w:val="0084722A"/>
    <w:rsid w:val="008865E8"/>
    <w:rsid w:val="00896B28"/>
    <w:rsid w:val="009150F8"/>
    <w:rsid w:val="0092684D"/>
    <w:rsid w:val="009637D2"/>
    <w:rsid w:val="009B31F1"/>
    <w:rsid w:val="00AA4B3A"/>
    <w:rsid w:val="00AC1030"/>
    <w:rsid w:val="00B347FC"/>
    <w:rsid w:val="00B80B14"/>
    <w:rsid w:val="00BB3851"/>
    <w:rsid w:val="00C3178E"/>
    <w:rsid w:val="00C87EDD"/>
    <w:rsid w:val="00D22EF1"/>
    <w:rsid w:val="00D4269B"/>
    <w:rsid w:val="00E43019"/>
    <w:rsid w:val="00E74624"/>
    <w:rsid w:val="00EB1027"/>
    <w:rsid w:val="00F339CD"/>
    <w:rsid w:val="00F37857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53BB"/>
  <w15:chartTrackingRefBased/>
  <w15:docId w15:val="{52DE251B-FB2D-4AD2-AD1F-2D5B74E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47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96B2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96B28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unhideWhenUsed/>
    <w:rsid w:val="00B80B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6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8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3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2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2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4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49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04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86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728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23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730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2526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839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836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265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16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641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011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11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27234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93778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7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8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01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030157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7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32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61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987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8" w:space="3" w:color="E1E1E1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71185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712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783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66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562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8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57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56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5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43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00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78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19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3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61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713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74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14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79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37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61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3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ence.sciencemag.org/content/348/6236/78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researchgate.net/publication/276357127_Whole-body_endothermy_in_a_mesopelagic_fish_the_opah_Lampris_guttatus" TargetMode="External"/><Relationship Id="rId12" Type="http://schemas.openxmlformats.org/officeDocument/2006/relationships/hyperlink" Target="http://citeseerx.ist.psu.edu/viewdoc/download?doi=10.1.1.456.3909&amp;rep=rep1&amp;type=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fa.harvard.edu/~ejchaisson/reprints/RussianBH_article.pdf" TargetMode="External"/><Relationship Id="rId11" Type="http://schemas.openxmlformats.org/officeDocument/2006/relationships/hyperlink" Target="https://www.ncbi.nlm.nih.gov/pmc/articles/PMC1691402/" TargetMode="External"/><Relationship Id="rId5" Type="http://schemas.openxmlformats.org/officeDocument/2006/relationships/hyperlink" Target="http://molbiol.ru/wiki/(%D0%B6%D1%80)_%D0%A1%D0%B5%D0%BC%D0%B5%D0%B9%D1%81%D1%82%D0%B2%D0%BE_%D0%BA%D1%80%D0%B5%D1%81%D1%82%D0%BE%D1%86%D0%B2%D0%B5%D1%82%D0%BD%D1%8B%D0%B5_(Brassicaceae,_%D0%B8%D0%BB%D0%B8_Cruciferae)" TargetMode="External"/><Relationship Id="rId10" Type="http://schemas.openxmlformats.org/officeDocument/2006/relationships/hyperlink" Target="https://www.ncbi.nlm.nih.gov/pubmed/8752207" TargetMode="External"/><Relationship Id="rId4" Type="http://schemas.openxmlformats.org/officeDocument/2006/relationships/hyperlink" Target="http://blgy.ru/biology6v/crucials" TargetMode="External"/><Relationship Id="rId9" Type="http://schemas.openxmlformats.org/officeDocument/2006/relationships/hyperlink" Target="https://pdfs.semanticscholar.org/06f6/82811f514e70cdc3bfa901e729fcae6e251b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Iakovleva</dc:creator>
  <cp:keywords/>
  <dc:description/>
  <cp:lastModifiedBy>Svetlana Iakovleva</cp:lastModifiedBy>
  <cp:revision>4</cp:revision>
  <dcterms:created xsi:type="dcterms:W3CDTF">2018-09-26T11:52:00Z</dcterms:created>
  <dcterms:modified xsi:type="dcterms:W3CDTF">2018-09-26T13:58:00Z</dcterms:modified>
</cp:coreProperties>
</file>